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777A" w14:textId="77478734" w:rsidR="00B75F91" w:rsidRDefault="00B75F91" w:rsidP="009A7F16">
      <w:pPr>
        <w:spacing w:after="240"/>
        <w:rPr>
          <w:rFonts w:cstheme="minorHAnsi"/>
          <w:sz w:val="24"/>
          <w:szCs w:val="24"/>
        </w:rPr>
      </w:pPr>
      <w:r>
        <w:rPr>
          <w:rFonts w:cstheme="minorHAnsi"/>
          <w:sz w:val="24"/>
          <w:szCs w:val="24"/>
        </w:rPr>
        <w:t>Dear</w:t>
      </w:r>
    </w:p>
    <w:p w14:paraId="7424C5BA" w14:textId="4AB0A845" w:rsidR="00A050AB" w:rsidRPr="005D461A" w:rsidRDefault="00A050AB" w:rsidP="00A050AB">
      <w:pPr>
        <w:rPr>
          <w:sz w:val="24"/>
          <w:szCs w:val="24"/>
        </w:rPr>
      </w:pPr>
      <w:r>
        <w:rPr>
          <w:sz w:val="24"/>
          <w:szCs w:val="24"/>
        </w:rPr>
        <w:t>In</w:t>
      </w:r>
      <w:r w:rsidRPr="005D461A">
        <w:rPr>
          <w:sz w:val="24"/>
          <w:szCs w:val="24"/>
        </w:rPr>
        <w:t xml:space="preserve"> </w:t>
      </w:r>
      <w:r w:rsidRPr="00F93899">
        <w:rPr>
          <w:i/>
          <w:iCs/>
          <w:sz w:val="24"/>
          <w:szCs w:val="24"/>
        </w:rPr>
        <w:t>Australian Veterans' Recognition (Putting Veterans and their Families First) Act 2019</w:t>
      </w:r>
      <w:r w:rsidR="00F93899">
        <w:rPr>
          <w:sz w:val="24"/>
          <w:szCs w:val="24"/>
        </w:rPr>
        <w:t>,</w:t>
      </w:r>
      <w:r>
        <w:rPr>
          <w:sz w:val="24"/>
          <w:szCs w:val="24"/>
        </w:rPr>
        <w:t xml:space="preserve"> </w:t>
      </w:r>
      <w:r w:rsidR="003F5E63">
        <w:rPr>
          <w:sz w:val="24"/>
          <w:szCs w:val="24"/>
        </w:rPr>
        <w:t>t</w:t>
      </w:r>
      <w:r>
        <w:rPr>
          <w:sz w:val="24"/>
          <w:szCs w:val="24"/>
        </w:rPr>
        <w:t xml:space="preserve">he </w:t>
      </w:r>
      <w:r w:rsidR="00B477E2">
        <w:rPr>
          <w:sz w:val="24"/>
          <w:szCs w:val="24"/>
        </w:rPr>
        <w:t xml:space="preserve">Australian </w:t>
      </w:r>
      <w:r>
        <w:rPr>
          <w:sz w:val="24"/>
          <w:szCs w:val="24"/>
        </w:rPr>
        <w:t>Parliament declared that</w:t>
      </w:r>
      <w:r w:rsidRPr="005D461A">
        <w:rPr>
          <w:sz w:val="24"/>
          <w:szCs w:val="24"/>
        </w:rPr>
        <w:t>:</w:t>
      </w:r>
    </w:p>
    <w:p w14:paraId="41C25B45" w14:textId="77777777" w:rsidR="00A050AB" w:rsidRPr="005D461A" w:rsidRDefault="00A050AB" w:rsidP="00A050AB">
      <w:pPr>
        <w:ind w:left="720"/>
        <w:rPr>
          <w:i/>
          <w:iCs/>
          <w:sz w:val="24"/>
          <w:szCs w:val="24"/>
        </w:rPr>
      </w:pPr>
      <w:r w:rsidRPr="005D461A">
        <w:rPr>
          <w:i/>
          <w:iCs/>
          <w:sz w:val="24"/>
          <w:szCs w:val="24"/>
        </w:rPr>
        <w:t>The Commonwealth acknowledges the unique nature of military service and the sacrifice demanded of those who commit to defend our nation.</w:t>
      </w:r>
    </w:p>
    <w:p w14:paraId="2607A650" w14:textId="176D1B1B" w:rsidR="00A050AB" w:rsidRDefault="00A050AB" w:rsidP="002A503F">
      <w:pPr>
        <w:spacing w:after="240"/>
        <w:rPr>
          <w:rFonts w:cstheme="minorHAnsi"/>
          <w:sz w:val="24"/>
          <w:szCs w:val="24"/>
        </w:rPr>
      </w:pPr>
      <w:r>
        <w:rPr>
          <w:rFonts w:cstheme="minorHAnsi"/>
          <w:sz w:val="24"/>
          <w:szCs w:val="24"/>
        </w:rPr>
        <w:t>But that does not apply to the ex-servicemen and women who are subject to the provisions of the Defence Force Retirement and Death Benefits (DFRDB) Act.</w:t>
      </w:r>
    </w:p>
    <w:p w14:paraId="5CF7792D" w14:textId="77777777" w:rsidR="000F2BA1" w:rsidRDefault="005064B9" w:rsidP="002A503F">
      <w:pPr>
        <w:spacing w:after="240"/>
        <w:rPr>
          <w:rFonts w:cstheme="minorHAnsi"/>
          <w:sz w:val="24"/>
          <w:szCs w:val="24"/>
        </w:rPr>
      </w:pPr>
      <w:r>
        <w:rPr>
          <w:rFonts w:cstheme="minorHAnsi"/>
          <w:sz w:val="24"/>
          <w:szCs w:val="24"/>
        </w:rPr>
        <w:t>In October 1972, the Prime Minister declared his Government</w:t>
      </w:r>
      <w:r w:rsidR="00957762">
        <w:rPr>
          <w:rFonts w:cstheme="minorHAnsi"/>
          <w:sz w:val="24"/>
          <w:szCs w:val="24"/>
        </w:rPr>
        <w:t>'</w:t>
      </w:r>
      <w:r>
        <w:rPr>
          <w:rFonts w:cstheme="minorHAnsi"/>
          <w:sz w:val="24"/>
          <w:szCs w:val="24"/>
        </w:rPr>
        <w:t>s intention to implement a new Military Superannuation scheme, the provisions of which were set down by a Joint Parliamentary Committee</w:t>
      </w:r>
      <w:r w:rsidR="00957762">
        <w:rPr>
          <w:rFonts w:cstheme="minorHAnsi"/>
          <w:sz w:val="24"/>
          <w:szCs w:val="24"/>
        </w:rPr>
        <w:t xml:space="preserve"> (the Jess Committee)</w:t>
      </w:r>
      <w:r>
        <w:rPr>
          <w:rFonts w:cstheme="minorHAnsi"/>
          <w:sz w:val="24"/>
          <w:szCs w:val="24"/>
        </w:rPr>
        <w:t>.</w:t>
      </w:r>
    </w:p>
    <w:p w14:paraId="412AAB79" w14:textId="35C14856" w:rsidR="00A050AB" w:rsidRDefault="000F2BA1" w:rsidP="002A503F">
      <w:pPr>
        <w:spacing w:after="240"/>
        <w:rPr>
          <w:rFonts w:cstheme="minorHAnsi"/>
          <w:sz w:val="24"/>
          <w:szCs w:val="24"/>
        </w:rPr>
      </w:pPr>
      <w:r>
        <w:rPr>
          <w:rFonts w:cstheme="minorHAnsi"/>
          <w:sz w:val="24"/>
          <w:szCs w:val="24"/>
        </w:rPr>
        <w:t>However,</w:t>
      </w:r>
      <w:r w:rsidR="005064B9">
        <w:rPr>
          <w:rFonts w:cstheme="minorHAnsi"/>
          <w:sz w:val="24"/>
          <w:szCs w:val="24"/>
        </w:rPr>
        <w:t xml:space="preserve"> public servants in the Department of </w:t>
      </w:r>
      <w:r w:rsidR="005064B9" w:rsidRPr="005D461A">
        <w:rPr>
          <w:rFonts w:cstheme="minorHAnsi"/>
          <w:sz w:val="24"/>
          <w:szCs w:val="24"/>
        </w:rPr>
        <w:t>Defence, Treasury,</w:t>
      </w:r>
      <w:r w:rsidR="005064B9">
        <w:rPr>
          <w:rFonts w:cstheme="minorHAnsi"/>
          <w:sz w:val="24"/>
          <w:szCs w:val="24"/>
        </w:rPr>
        <w:t xml:space="preserve"> </w:t>
      </w:r>
      <w:r>
        <w:rPr>
          <w:rFonts w:cstheme="minorHAnsi"/>
          <w:sz w:val="24"/>
          <w:szCs w:val="24"/>
        </w:rPr>
        <w:t xml:space="preserve">and </w:t>
      </w:r>
      <w:r w:rsidR="005064B9" w:rsidRPr="005D461A">
        <w:rPr>
          <w:rFonts w:cstheme="minorHAnsi"/>
          <w:sz w:val="24"/>
          <w:szCs w:val="24"/>
        </w:rPr>
        <w:t xml:space="preserve">the Commonwealth </w:t>
      </w:r>
      <w:r w:rsidR="00EA08B1" w:rsidRPr="005D461A">
        <w:rPr>
          <w:rFonts w:cstheme="minorHAnsi"/>
          <w:sz w:val="24"/>
          <w:szCs w:val="24"/>
        </w:rPr>
        <w:t>Actuary</w:t>
      </w:r>
      <w:r w:rsidR="005064B9">
        <w:rPr>
          <w:rFonts w:cstheme="minorHAnsi"/>
          <w:sz w:val="24"/>
          <w:szCs w:val="24"/>
        </w:rPr>
        <w:t xml:space="preserve"> </w:t>
      </w:r>
      <w:r>
        <w:rPr>
          <w:rFonts w:cstheme="minorHAnsi"/>
          <w:sz w:val="24"/>
          <w:szCs w:val="24"/>
        </w:rPr>
        <w:t xml:space="preserve">considered the </w:t>
      </w:r>
      <w:r w:rsidR="003E7CC4">
        <w:rPr>
          <w:rFonts w:cstheme="minorHAnsi"/>
          <w:sz w:val="24"/>
          <w:szCs w:val="24"/>
        </w:rPr>
        <w:t>entitlement</w:t>
      </w:r>
      <w:r>
        <w:rPr>
          <w:rFonts w:cstheme="minorHAnsi"/>
          <w:sz w:val="24"/>
          <w:szCs w:val="24"/>
        </w:rPr>
        <w:t>s which flowed from</w:t>
      </w:r>
      <w:r w:rsidR="005064B9">
        <w:rPr>
          <w:rFonts w:cstheme="minorHAnsi"/>
          <w:sz w:val="24"/>
          <w:szCs w:val="24"/>
        </w:rPr>
        <w:t xml:space="preserve"> th</w:t>
      </w:r>
      <w:r w:rsidR="00B477E2">
        <w:rPr>
          <w:rFonts w:cstheme="minorHAnsi"/>
          <w:sz w:val="24"/>
          <w:szCs w:val="24"/>
        </w:rPr>
        <w:t>at</w:t>
      </w:r>
      <w:r w:rsidR="005064B9">
        <w:rPr>
          <w:rFonts w:cstheme="minorHAnsi"/>
          <w:sz w:val="24"/>
          <w:szCs w:val="24"/>
        </w:rPr>
        <w:t xml:space="preserve"> unique nature of military service </w:t>
      </w:r>
      <w:r>
        <w:rPr>
          <w:rFonts w:cstheme="minorHAnsi"/>
          <w:sz w:val="24"/>
          <w:szCs w:val="24"/>
        </w:rPr>
        <w:t>too generous because they</w:t>
      </w:r>
      <w:r w:rsidR="005064B9">
        <w:rPr>
          <w:rFonts w:cstheme="minorHAnsi"/>
          <w:sz w:val="24"/>
          <w:szCs w:val="24"/>
        </w:rPr>
        <w:t xml:space="preserve"> did not exist in their </w:t>
      </w:r>
      <w:r w:rsidR="00B477E2">
        <w:rPr>
          <w:rFonts w:cstheme="minorHAnsi"/>
          <w:sz w:val="24"/>
          <w:szCs w:val="24"/>
        </w:rPr>
        <w:t xml:space="preserve">own </w:t>
      </w:r>
      <w:r>
        <w:rPr>
          <w:rFonts w:cstheme="minorHAnsi"/>
          <w:sz w:val="24"/>
          <w:szCs w:val="24"/>
        </w:rPr>
        <w:t>Commonwealth S</w:t>
      </w:r>
      <w:r w:rsidR="005064B9">
        <w:rPr>
          <w:rFonts w:cstheme="minorHAnsi"/>
          <w:sz w:val="24"/>
          <w:szCs w:val="24"/>
        </w:rPr>
        <w:t xml:space="preserve">uperannuation scheme.  </w:t>
      </w:r>
      <w:r>
        <w:rPr>
          <w:rFonts w:cstheme="minorHAnsi"/>
          <w:sz w:val="24"/>
          <w:szCs w:val="24"/>
        </w:rPr>
        <w:t xml:space="preserve">So, with the aid of the Parliamentary Counsel, </w:t>
      </w:r>
      <w:r w:rsidR="005064B9">
        <w:rPr>
          <w:rFonts w:cstheme="minorHAnsi"/>
          <w:sz w:val="24"/>
          <w:szCs w:val="24"/>
        </w:rPr>
        <w:t xml:space="preserve">they cleverly </w:t>
      </w:r>
      <w:r w:rsidR="00957762">
        <w:rPr>
          <w:rFonts w:cstheme="minorHAnsi"/>
          <w:sz w:val="24"/>
          <w:szCs w:val="24"/>
        </w:rPr>
        <w:t>draft</w:t>
      </w:r>
      <w:r>
        <w:rPr>
          <w:rFonts w:cstheme="minorHAnsi"/>
          <w:sz w:val="24"/>
          <w:szCs w:val="24"/>
        </w:rPr>
        <w:t>ed the DFRDB</w:t>
      </w:r>
      <w:r w:rsidR="00957762">
        <w:rPr>
          <w:rFonts w:cstheme="minorHAnsi"/>
          <w:sz w:val="24"/>
          <w:szCs w:val="24"/>
        </w:rPr>
        <w:t xml:space="preserve"> legislation</w:t>
      </w:r>
      <w:r w:rsidR="005064B9">
        <w:rPr>
          <w:rFonts w:cstheme="minorHAnsi"/>
          <w:sz w:val="24"/>
          <w:szCs w:val="24"/>
        </w:rPr>
        <w:t xml:space="preserve"> to </w:t>
      </w:r>
      <w:r w:rsidR="00957762">
        <w:rPr>
          <w:rFonts w:cstheme="minorHAnsi"/>
          <w:sz w:val="24"/>
          <w:szCs w:val="24"/>
        </w:rPr>
        <w:t>diminish</w:t>
      </w:r>
      <w:r w:rsidR="005064B9">
        <w:rPr>
          <w:rFonts w:cstheme="minorHAnsi"/>
          <w:sz w:val="24"/>
          <w:szCs w:val="24"/>
        </w:rPr>
        <w:t xml:space="preserve"> all</w:t>
      </w:r>
      <w:r w:rsidR="00957762">
        <w:rPr>
          <w:rFonts w:cstheme="minorHAnsi"/>
          <w:sz w:val="24"/>
          <w:szCs w:val="24"/>
        </w:rPr>
        <w:t xml:space="preserve"> </w:t>
      </w:r>
      <w:r w:rsidR="005064B9">
        <w:rPr>
          <w:rFonts w:cstheme="minorHAnsi"/>
          <w:sz w:val="24"/>
          <w:szCs w:val="24"/>
        </w:rPr>
        <w:t>benefits over time.</w:t>
      </w:r>
      <w:r>
        <w:rPr>
          <w:rFonts w:cstheme="minorHAnsi"/>
          <w:sz w:val="24"/>
          <w:szCs w:val="24"/>
        </w:rPr>
        <w:t xml:space="preserve"> </w:t>
      </w:r>
      <w:r w:rsidR="003E7CC4">
        <w:rPr>
          <w:rFonts w:cstheme="minorHAnsi"/>
          <w:sz w:val="24"/>
          <w:szCs w:val="24"/>
        </w:rPr>
        <w:t xml:space="preserve"> </w:t>
      </w:r>
      <w:r>
        <w:rPr>
          <w:rFonts w:cstheme="minorHAnsi"/>
          <w:sz w:val="24"/>
          <w:szCs w:val="24"/>
        </w:rPr>
        <w:t>H</w:t>
      </w:r>
      <w:r w:rsidR="00957762">
        <w:rPr>
          <w:rFonts w:cstheme="minorHAnsi"/>
          <w:sz w:val="24"/>
          <w:szCs w:val="24"/>
        </w:rPr>
        <w:t>ow</w:t>
      </w:r>
      <w:r>
        <w:rPr>
          <w:rFonts w:cstheme="minorHAnsi"/>
          <w:sz w:val="24"/>
          <w:szCs w:val="24"/>
        </w:rPr>
        <w:t xml:space="preserve"> this was achieved</w:t>
      </w:r>
      <w:r w:rsidR="00957762">
        <w:rPr>
          <w:rFonts w:cstheme="minorHAnsi"/>
          <w:sz w:val="24"/>
          <w:szCs w:val="24"/>
        </w:rPr>
        <w:t xml:space="preserve"> </w:t>
      </w:r>
      <w:r>
        <w:rPr>
          <w:rFonts w:cstheme="minorHAnsi"/>
          <w:sz w:val="24"/>
          <w:szCs w:val="24"/>
        </w:rPr>
        <w:t>is</w:t>
      </w:r>
      <w:r w:rsidR="00A050AB">
        <w:rPr>
          <w:rFonts w:cstheme="minorHAnsi"/>
          <w:sz w:val="24"/>
          <w:szCs w:val="24"/>
        </w:rPr>
        <w:t xml:space="preserve"> detailed </w:t>
      </w:r>
      <w:r w:rsidR="00957762">
        <w:rPr>
          <w:rFonts w:cstheme="minorHAnsi"/>
          <w:sz w:val="24"/>
          <w:szCs w:val="24"/>
        </w:rPr>
        <w:t>in</w:t>
      </w:r>
      <w:r w:rsidR="00A050AB">
        <w:rPr>
          <w:rFonts w:cstheme="minorHAnsi"/>
          <w:sz w:val="24"/>
          <w:szCs w:val="24"/>
        </w:rPr>
        <w:t xml:space="preserve"> </w:t>
      </w:r>
      <w:hyperlink r:id="rId7" w:history="1">
        <w:r w:rsidR="00A050AB">
          <w:rPr>
            <w:rStyle w:val="Hyperlink"/>
            <w:sz w:val="24"/>
            <w:szCs w:val="24"/>
          </w:rPr>
          <w:t>The DFRDB Deception</w:t>
        </w:r>
      </w:hyperlink>
      <w:r w:rsidR="00680A0F">
        <w:rPr>
          <w:rFonts w:cstheme="minorHAnsi"/>
          <w:sz w:val="24"/>
          <w:szCs w:val="24"/>
        </w:rPr>
        <w:t>.</w:t>
      </w:r>
    </w:p>
    <w:p w14:paraId="22FB91C3" w14:textId="7E2CB034" w:rsidR="005D461A" w:rsidRDefault="003E7CC4" w:rsidP="002A503F">
      <w:pPr>
        <w:spacing w:after="240"/>
        <w:rPr>
          <w:rFonts w:cstheme="minorHAnsi"/>
          <w:sz w:val="24"/>
          <w:szCs w:val="24"/>
        </w:rPr>
      </w:pPr>
      <w:r>
        <w:rPr>
          <w:rFonts w:cstheme="minorHAnsi"/>
          <w:sz w:val="24"/>
          <w:szCs w:val="24"/>
        </w:rPr>
        <w:t>T</w:t>
      </w:r>
      <w:r w:rsidR="001D7EE7">
        <w:rPr>
          <w:rFonts w:cstheme="minorHAnsi"/>
          <w:sz w:val="24"/>
          <w:szCs w:val="24"/>
        </w:rPr>
        <w:t>he</w:t>
      </w:r>
      <w:r w:rsidR="005D461A">
        <w:rPr>
          <w:rFonts w:cstheme="minorHAnsi"/>
          <w:sz w:val="24"/>
          <w:szCs w:val="24"/>
        </w:rPr>
        <w:t xml:space="preserve"> Hansard record of the </w:t>
      </w:r>
      <w:r w:rsidR="003F5E63">
        <w:rPr>
          <w:rFonts w:cstheme="minorHAnsi"/>
          <w:sz w:val="24"/>
          <w:szCs w:val="24"/>
        </w:rPr>
        <w:t xml:space="preserve">relevant </w:t>
      </w:r>
      <w:r w:rsidR="005D461A">
        <w:rPr>
          <w:rFonts w:cstheme="minorHAnsi"/>
          <w:sz w:val="24"/>
          <w:szCs w:val="24"/>
        </w:rPr>
        <w:t>Parliamentary debates</w:t>
      </w:r>
      <w:r>
        <w:rPr>
          <w:rFonts w:cstheme="minorHAnsi"/>
          <w:sz w:val="24"/>
          <w:szCs w:val="24"/>
        </w:rPr>
        <w:t xml:space="preserve"> shows</w:t>
      </w:r>
      <w:r w:rsidR="005D461A">
        <w:rPr>
          <w:rFonts w:cstheme="minorHAnsi"/>
          <w:sz w:val="24"/>
          <w:szCs w:val="24"/>
        </w:rPr>
        <w:t xml:space="preserve"> that:</w:t>
      </w:r>
    </w:p>
    <w:p w14:paraId="728F3E76" w14:textId="7E5015CB" w:rsidR="000F2BA1" w:rsidRDefault="005D461A" w:rsidP="002A503F">
      <w:pPr>
        <w:pStyle w:val="ListParagraph"/>
        <w:numPr>
          <w:ilvl w:val="0"/>
          <w:numId w:val="2"/>
        </w:numPr>
        <w:spacing w:after="120"/>
        <w:ind w:left="714" w:hanging="357"/>
        <w:contextualSpacing w:val="0"/>
        <w:rPr>
          <w:rFonts w:cstheme="minorHAnsi"/>
          <w:sz w:val="24"/>
          <w:szCs w:val="24"/>
        </w:rPr>
      </w:pPr>
      <w:r w:rsidRPr="005D461A">
        <w:rPr>
          <w:rFonts w:cstheme="minorHAnsi"/>
          <w:sz w:val="24"/>
          <w:szCs w:val="24"/>
        </w:rPr>
        <w:t xml:space="preserve">Defence, </w:t>
      </w:r>
      <w:r w:rsidR="003F5E63" w:rsidRPr="005D461A">
        <w:rPr>
          <w:rFonts w:cstheme="minorHAnsi"/>
          <w:sz w:val="24"/>
          <w:szCs w:val="24"/>
        </w:rPr>
        <w:t>Treasury,</w:t>
      </w:r>
      <w:r w:rsidR="003F5E63">
        <w:rPr>
          <w:rFonts w:cstheme="minorHAnsi"/>
          <w:sz w:val="24"/>
          <w:szCs w:val="24"/>
        </w:rPr>
        <w:t xml:space="preserve"> and</w:t>
      </w:r>
      <w:r w:rsidRPr="005D461A">
        <w:rPr>
          <w:rFonts w:cstheme="minorHAnsi"/>
          <w:sz w:val="24"/>
          <w:szCs w:val="24"/>
        </w:rPr>
        <w:t xml:space="preserve"> the Commonwealth Actuary</w:t>
      </w:r>
      <w:r w:rsidRPr="00E16E3F">
        <w:rPr>
          <w:rFonts w:cstheme="minorHAnsi"/>
          <w:sz w:val="24"/>
          <w:szCs w:val="24"/>
        </w:rPr>
        <w:t xml:space="preserve"> </w:t>
      </w:r>
      <w:r w:rsidR="00F93899">
        <w:rPr>
          <w:rFonts w:cstheme="minorHAnsi"/>
          <w:sz w:val="24"/>
          <w:szCs w:val="24"/>
        </w:rPr>
        <w:t>were opposed to</w:t>
      </w:r>
      <w:r>
        <w:rPr>
          <w:rFonts w:cstheme="minorHAnsi"/>
          <w:sz w:val="24"/>
          <w:szCs w:val="24"/>
        </w:rPr>
        <w:t xml:space="preserve"> the </w:t>
      </w:r>
      <w:r w:rsidR="000F2BA1">
        <w:rPr>
          <w:rFonts w:cstheme="minorHAnsi"/>
          <w:sz w:val="24"/>
          <w:szCs w:val="24"/>
        </w:rPr>
        <w:t>DFRDB</w:t>
      </w:r>
      <w:r>
        <w:rPr>
          <w:rFonts w:cstheme="minorHAnsi"/>
          <w:sz w:val="24"/>
          <w:szCs w:val="24"/>
        </w:rPr>
        <w:t xml:space="preserve"> scheme</w:t>
      </w:r>
      <w:r w:rsidR="000F2BA1">
        <w:rPr>
          <w:rFonts w:cstheme="minorHAnsi"/>
          <w:sz w:val="24"/>
          <w:szCs w:val="24"/>
        </w:rPr>
        <w:t>,</w:t>
      </w:r>
    </w:p>
    <w:p w14:paraId="047C664B" w14:textId="1A0C0195" w:rsidR="005D461A" w:rsidRDefault="000F2BA1" w:rsidP="002A503F">
      <w:pPr>
        <w:pStyle w:val="ListParagraph"/>
        <w:numPr>
          <w:ilvl w:val="0"/>
          <w:numId w:val="2"/>
        </w:numPr>
        <w:spacing w:after="120"/>
        <w:ind w:left="714" w:hanging="357"/>
        <w:contextualSpacing w:val="0"/>
        <w:rPr>
          <w:rFonts w:cstheme="minorHAnsi"/>
          <w:sz w:val="24"/>
          <w:szCs w:val="24"/>
        </w:rPr>
      </w:pPr>
      <w:r>
        <w:rPr>
          <w:rFonts w:cstheme="minorHAnsi"/>
          <w:sz w:val="24"/>
          <w:szCs w:val="24"/>
        </w:rPr>
        <w:t>T</w:t>
      </w:r>
      <w:r w:rsidR="005D461A">
        <w:rPr>
          <w:rFonts w:cstheme="minorHAnsi"/>
          <w:sz w:val="24"/>
          <w:szCs w:val="24"/>
        </w:rPr>
        <w:t>he Commonwealth Superannuation scheme for public servants</w:t>
      </w:r>
      <w:r>
        <w:rPr>
          <w:rFonts w:cstheme="minorHAnsi"/>
          <w:sz w:val="24"/>
          <w:szCs w:val="24"/>
        </w:rPr>
        <w:t xml:space="preserve"> was considered the benchmark to which military superannuation schemes had to be aligned</w:t>
      </w:r>
      <w:r w:rsidR="005D461A">
        <w:rPr>
          <w:rFonts w:cstheme="minorHAnsi"/>
          <w:sz w:val="24"/>
          <w:szCs w:val="24"/>
        </w:rPr>
        <w:t>,</w:t>
      </w:r>
    </w:p>
    <w:p w14:paraId="25A34712" w14:textId="72EA77A1" w:rsidR="00957762" w:rsidRDefault="00957762" w:rsidP="002A503F">
      <w:pPr>
        <w:pStyle w:val="ListParagraph"/>
        <w:numPr>
          <w:ilvl w:val="0"/>
          <w:numId w:val="2"/>
        </w:numPr>
        <w:spacing w:after="120"/>
        <w:ind w:left="714" w:hanging="357"/>
        <w:contextualSpacing w:val="0"/>
        <w:rPr>
          <w:rFonts w:cstheme="minorHAnsi"/>
          <w:sz w:val="24"/>
          <w:szCs w:val="24"/>
        </w:rPr>
      </w:pPr>
      <w:r>
        <w:rPr>
          <w:rFonts w:cstheme="minorHAnsi"/>
          <w:sz w:val="24"/>
          <w:szCs w:val="24"/>
        </w:rPr>
        <w:t>Service representation was excluded</w:t>
      </w:r>
      <w:r w:rsidRPr="003F5E63">
        <w:rPr>
          <w:rFonts w:cstheme="minorHAnsi"/>
          <w:sz w:val="24"/>
          <w:szCs w:val="24"/>
        </w:rPr>
        <w:t xml:space="preserve"> from </w:t>
      </w:r>
      <w:r>
        <w:rPr>
          <w:rFonts w:cstheme="minorHAnsi"/>
          <w:sz w:val="24"/>
          <w:szCs w:val="24"/>
        </w:rPr>
        <w:t xml:space="preserve">the </w:t>
      </w:r>
      <w:r w:rsidRPr="003F5E63">
        <w:rPr>
          <w:rFonts w:cstheme="minorHAnsi"/>
          <w:sz w:val="24"/>
          <w:szCs w:val="24"/>
        </w:rPr>
        <w:t>legislation drafting panels</w:t>
      </w:r>
      <w:r>
        <w:rPr>
          <w:rFonts w:cstheme="minorHAnsi"/>
          <w:sz w:val="24"/>
          <w:szCs w:val="24"/>
        </w:rPr>
        <w:t>,</w:t>
      </w:r>
    </w:p>
    <w:p w14:paraId="6289140D" w14:textId="7A0B55FF" w:rsidR="002A503F" w:rsidRPr="00E16E3F" w:rsidRDefault="002A503F" w:rsidP="002A503F">
      <w:pPr>
        <w:pStyle w:val="ListParagraph"/>
        <w:numPr>
          <w:ilvl w:val="0"/>
          <w:numId w:val="2"/>
        </w:numPr>
        <w:spacing w:after="120"/>
        <w:ind w:left="714" w:hanging="357"/>
        <w:contextualSpacing w:val="0"/>
        <w:rPr>
          <w:rFonts w:cstheme="minorHAnsi"/>
          <w:sz w:val="24"/>
          <w:szCs w:val="24"/>
        </w:rPr>
      </w:pPr>
      <w:r w:rsidRPr="00E16E3F">
        <w:rPr>
          <w:rFonts w:cstheme="minorHAnsi"/>
          <w:sz w:val="24"/>
          <w:szCs w:val="24"/>
        </w:rPr>
        <w:t xml:space="preserve">The wording of the </w:t>
      </w:r>
      <w:r w:rsidR="005D461A">
        <w:rPr>
          <w:rFonts w:cstheme="minorHAnsi"/>
          <w:sz w:val="24"/>
          <w:szCs w:val="24"/>
        </w:rPr>
        <w:t xml:space="preserve">draft </w:t>
      </w:r>
      <w:r w:rsidRPr="00E16E3F">
        <w:rPr>
          <w:rFonts w:cstheme="minorHAnsi"/>
          <w:sz w:val="24"/>
          <w:szCs w:val="24"/>
        </w:rPr>
        <w:t xml:space="preserve">legislation </w:t>
      </w:r>
      <w:r w:rsidR="005D461A">
        <w:rPr>
          <w:rFonts w:cstheme="minorHAnsi"/>
          <w:sz w:val="24"/>
          <w:szCs w:val="24"/>
        </w:rPr>
        <w:t>wa</w:t>
      </w:r>
      <w:r w:rsidRPr="00E16E3F">
        <w:rPr>
          <w:rFonts w:cstheme="minorHAnsi"/>
          <w:sz w:val="24"/>
          <w:szCs w:val="24"/>
        </w:rPr>
        <w:t>s unnecessarily complicated,</w:t>
      </w:r>
    </w:p>
    <w:p w14:paraId="3FD3173B" w14:textId="77777777" w:rsidR="002A503F" w:rsidRPr="00E16E3F" w:rsidRDefault="002A503F" w:rsidP="002A503F">
      <w:pPr>
        <w:pStyle w:val="ListParagraph"/>
        <w:numPr>
          <w:ilvl w:val="0"/>
          <w:numId w:val="2"/>
        </w:numPr>
        <w:spacing w:after="120"/>
        <w:ind w:left="714" w:hanging="357"/>
        <w:contextualSpacing w:val="0"/>
        <w:rPr>
          <w:rFonts w:cstheme="minorHAnsi"/>
          <w:sz w:val="24"/>
          <w:szCs w:val="24"/>
        </w:rPr>
      </w:pPr>
      <w:r w:rsidRPr="00E16E3F">
        <w:rPr>
          <w:rFonts w:cstheme="minorHAnsi"/>
          <w:sz w:val="24"/>
          <w:szCs w:val="24"/>
        </w:rPr>
        <w:t>There were no Explanatory Memoranda,</w:t>
      </w:r>
    </w:p>
    <w:p w14:paraId="202F0A7A" w14:textId="0C438C66" w:rsidR="002A503F" w:rsidRPr="005D461A" w:rsidRDefault="001B62D6" w:rsidP="002A503F">
      <w:pPr>
        <w:pStyle w:val="ListParagraph"/>
        <w:numPr>
          <w:ilvl w:val="0"/>
          <w:numId w:val="2"/>
        </w:numPr>
        <w:spacing w:after="120"/>
        <w:ind w:left="714" w:hanging="357"/>
        <w:contextualSpacing w:val="0"/>
        <w:rPr>
          <w:rFonts w:cstheme="minorHAnsi"/>
          <w:sz w:val="24"/>
          <w:szCs w:val="24"/>
        </w:rPr>
      </w:pPr>
      <w:r w:rsidRPr="001B62D6">
        <w:rPr>
          <w:rFonts w:cstheme="minorHAnsi"/>
          <w:sz w:val="24"/>
          <w:szCs w:val="24"/>
        </w:rPr>
        <w:t xml:space="preserve">The responsible Ministers' Second Reading speeches conveyed misleading information and omitted the </w:t>
      </w:r>
      <w:r w:rsidR="00680A0F">
        <w:rPr>
          <w:rFonts w:cstheme="minorHAnsi"/>
          <w:sz w:val="24"/>
          <w:szCs w:val="24"/>
        </w:rPr>
        <w:t>effect</w:t>
      </w:r>
      <w:r w:rsidRPr="001B62D6">
        <w:rPr>
          <w:rFonts w:cstheme="minorHAnsi"/>
          <w:sz w:val="24"/>
          <w:szCs w:val="24"/>
        </w:rPr>
        <w:t xml:space="preserve"> of </w:t>
      </w:r>
      <w:r w:rsidR="00F93899">
        <w:rPr>
          <w:rFonts w:cstheme="minorHAnsi"/>
          <w:sz w:val="24"/>
          <w:szCs w:val="24"/>
        </w:rPr>
        <w:t>the legislation</w:t>
      </w:r>
      <w:r w:rsidR="005D461A">
        <w:rPr>
          <w:rFonts w:cstheme="minorHAnsi"/>
          <w:sz w:val="24"/>
          <w:szCs w:val="24"/>
        </w:rPr>
        <w:t>,</w:t>
      </w:r>
    </w:p>
    <w:p w14:paraId="0AAAAEB8" w14:textId="77777777" w:rsidR="00F93899" w:rsidRDefault="00F93899" w:rsidP="00F93899">
      <w:pPr>
        <w:pStyle w:val="ListParagraph"/>
        <w:numPr>
          <w:ilvl w:val="0"/>
          <w:numId w:val="2"/>
        </w:numPr>
        <w:spacing w:after="120"/>
        <w:ind w:left="714" w:hanging="357"/>
        <w:contextualSpacing w:val="0"/>
        <w:rPr>
          <w:rFonts w:cstheme="minorHAnsi"/>
          <w:sz w:val="24"/>
          <w:szCs w:val="24"/>
        </w:rPr>
      </w:pPr>
      <w:r>
        <w:rPr>
          <w:rFonts w:cstheme="minorHAnsi"/>
          <w:sz w:val="24"/>
          <w:szCs w:val="24"/>
        </w:rPr>
        <w:t>Members of Parliament did not understand the legislation,</w:t>
      </w:r>
    </w:p>
    <w:p w14:paraId="47B1AE35" w14:textId="605DD2DE" w:rsidR="002A503F" w:rsidRPr="00E16E3F" w:rsidRDefault="002A503F" w:rsidP="002A503F">
      <w:pPr>
        <w:pStyle w:val="ListParagraph"/>
        <w:numPr>
          <w:ilvl w:val="0"/>
          <w:numId w:val="2"/>
        </w:numPr>
        <w:spacing w:after="120"/>
        <w:ind w:left="714" w:hanging="357"/>
        <w:contextualSpacing w:val="0"/>
        <w:rPr>
          <w:rFonts w:cstheme="minorHAnsi"/>
          <w:sz w:val="24"/>
          <w:szCs w:val="24"/>
        </w:rPr>
      </w:pPr>
      <w:r w:rsidRPr="00E16E3F">
        <w:rPr>
          <w:rFonts w:cstheme="minorHAnsi"/>
          <w:sz w:val="24"/>
          <w:szCs w:val="24"/>
        </w:rPr>
        <w:t xml:space="preserve">The inaugural Bill was introduced concurrently with </w:t>
      </w:r>
      <w:r w:rsidR="005D461A">
        <w:rPr>
          <w:rFonts w:cstheme="minorHAnsi"/>
          <w:sz w:val="24"/>
          <w:szCs w:val="24"/>
        </w:rPr>
        <w:t xml:space="preserve">three </w:t>
      </w:r>
      <w:r w:rsidRPr="00E16E3F">
        <w:rPr>
          <w:rFonts w:cstheme="minorHAnsi"/>
          <w:sz w:val="24"/>
          <w:szCs w:val="24"/>
        </w:rPr>
        <w:t>other Bills</w:t>
      </w:r>
      <w:r w:rsidR="005D461A">
        <w:rPr>
          <w:rFonts w:cstheme="minorHAnsi"/>
          <w:sz w:val="24"/>
          <w:szCs w:val="24"/>
        </w:rPr>
        <w:t>,</w:t>
      </w:r>
    </w:p>
    <w:p w14:paraId="0674F076" w14:textId="54E02258" w:rsidR="002A503F" w:rsidRPr="00E16E3F" w:rsidRDefault="00AC5EEB" w:rsidP="002A503F">
      <w:pPr>
        <w:pStyle w:val="ListParagraph"/>
        <w:numPr>
          <w:ilvl w:val="0"/>
          <w:numId w:val="2"/>
        </w:numPr>
        <w:spacing w:after="120"/>
        <w:ind w:left="714" w:hanging="357"/>
        <w:contextualSpacing w:val="0"/>
        <w:rPr>
          <w:rFonts w:cstheme="minorHAnsi"/>
          <w:sz w:val="24"/>
          <w:szCs w:val="24"/>
        </w:rPr>
      </w:pPr>
      <w:r>
        <w:rPr>
          <w:rFonts w:cstheme="minorHAnsi"/>
          <w:sz w:val="24"/>
          <w:szCs w:val="24"/>
        </w:rPr>
        <w:t>DFRDB a</w:t>
      </w:r>
      <w:r w:rsidR="002A503F" w:rsidRPr="00E16E3F">
        <w:rPr>
          <w:rFonts w:cstheme="minorHAnsi"/>
          <w:sz w:val="24"/>
          <w:szCs w:val="24"/>
        </w:rPr>
        <w:t>mendments were introduced with unrelated amendments to other Acts,</w:t>
      </w:r>
    </w:p>
    <w:p w14:paraId="25188227" w14:textId="48CC083D" w:rsidR="003C1DA3" w:rsidRDefault="00AC5EEB" w:rsidP="005D461A">
      <w:pPr>
        <w:pStyle w:val="ListParagraph"/>
        <w:numPr>
          <w:ilvl w:val="0"/>
          <w:numId w:val="2"/>
        </w:numPr>
        <w:spacing w:after="120"/>
        <w:ind w:left="714" w:hanging="357"/>
        <w:contextualSpacing w:val="0"/>
        <w:rPr>
          <w:rFonts w:cstheme="minorHAnsi"/>
          <w:sz w:val="24"/>
          <w:szCs w:val="24"/>
        </w:rPr>
      </w:pPr>
      <w:r>
        <w:rPr>
          <w:rFonts w:cstheme="minorHAnsi"/>
          <w:sz w:val="24"/>
          <w:szCs w:val="24"/>
        </w:rPr>
        <w:t xml:space="preserve">DFRDB </w:t>
      </w:r>
      <w:r w:rsidR="002A503F" w:rsidRPr="00E16E3F">
        <w:rPr>
          <w:rFonts w:cstheme="minorHAnsi"/>
          <w:sz w:val="24"/>
          <w:szCs w:val="24"/>
        </w:rPr>
        <w:t xml:space="preserve">Bills were </w:t>
      </w:r>
      <w:r>
        <w:rPr>
          <w:rFonts w:cstheme="minorHAnsi"/>
          <w:sz w:val="24"/>
          <w:szCs w:val="24"/>
        </w:rPr>
        <w:t>usually</w:t>
      </w:r>
      <w:r w:rsidR="000F2BA1">
        <w:rPr>
          <w:rFonts w:cstheme="minorHAnsi"/>
          <w:sz w:val="24"/>
          <w:szCs w:val="24"/>
        </w:rPr>
        <w:t xml:space="preserve"> </w:t>
      </w:r>
      <w:r w:rsidR="002A503F" w:rsidRPr="00E16E3F">
        <w:rPr>
          <w:rFonts w:cstheme="minorHAnsi"/>
          <w:sz w:val="24"/>
          <w:szCs w:val="24"/>
        </w:rPr>
        <w:t>introduced toward the end of Parliamentary s</w:t>
      </w:r>
      <w:r w:rsidR="0060592B">
        <w:rPr>
          <w:rFonts w:cstheme="minorHAnsi"/>
          <w:sz w:val="24"/>
          <w:szCs w:val="24"/>
        </w:rPr>
        <w:t>itting</w:t>
      </w:r>
      <w:r w:rsidR="002A503F" w:rsidRPr="00E16E3F">
        <w:rPr>
          <w:rFonts w:cstheme="minorHAnsi"/>
          <w:sz w:val="24"/>
          <w:szCs w:val="24"/>
        </w:rPr>
        <w:t>s</w:t>
      </w:r>
      <w:r w:rsidR="000B63DF">
        <w:rPr>
          <w:rFonts w:cstheme="minorHAnsi"/>
          <w:sz w:val="24"/>
          <w:szCs w:val="24"/>
        </w:rPr>
        <w:t xml:space="preserve"> and</w:t>
      </w:r>
    </w:p>
    <w:p w14:paraId="4F39A41A" w14:textId="1C7E9E82" w:rsidR="002A503F" w:rsidRPr="00E16E3F" w:rsidRDefault="00F93899" w:rsidP="002A503F">
      <w:pPr>
        <w:pStyle w:val="ListParagraph"/>
        <w:numPr>
          <w:ilvl w:val="0"/>
          <w:numId w:val="2"/>
        </w:numPr>
        <w:spacing w:after="240"/>
        <w:ind w:left="714" w:hanging="357"/>
        <w:contextualSpacing w:val="0"/>
        <w:rPr>
          <w:rFonts w:cstheme="minorHAnsi"/>
          <w:sz w:val="24"/>
          <w:szCs w:val="24"/>
        </w:rPr>
      </w:pPr>
      <w:r>
        <w:rPr>
          <w:rFonts w:cstheme="minorHAnsi"/>
          <w:sz w:val="24"/>
          <w:szCs w:val="24"/>
        </w:rPr>
        <w:t>T</w:t>
      </w:r>
      <w:r w:rsidR="005D461A">
        <w:rPr>
          <w:rFonts w:cstheme="minorHAnsi"/>
          <w:sz w:val="24"/>
          <w:szCs w:val="24"/>
        </w:rPr>
        <w:t>he Parliament did not</w:t>
      </w:r>
      <w:r w:rsidR="002A503F" w:rsidRPr="00E16E3F">
        <w:rPr>
          <w:rFonts w:cstheme="minorHAnsi"/>
          <w:sz w:val="24"/>
          <w:szCs w:val="24"/>
        </w:rPr>
        <w:t xml:space="preserve"> </w:t>
      </w:r>
      <w:r>
        <w:rPr>
          <w:rFonts w:cstheme="minorHAnsi"/>
          <w:sz w:val="24"/>
          <w:szCs w:val="24"/>
        </w:rPr>
        <w:t>adequate</w:t>
      </w:r>
      <w:r w:rsidR="005D461A">
        <w:rPr>
          <w:rFonts w:cstheme="minorHAnsi"/>
          <w:sz w:val="24"/>
          <w:szCs w:val="24"/>
        </w:rPr>
        <w:t>ly</w:t>
      </w:r>
      <w:r w:rsidR="002A503F" w:rsidRPr="00E16E3F">
        <w:rPr>
          <w:rFonts w:cstheme="minorHAnsi"/>
          <w:sz w:val="24"/>
          <w:szCs w:val="24"/>
        </w:rPr>
        <w:t xml:space="preserve"> scrutin</w:t>
      </w:r>
      <w:r w:rsidR="005D461A">
        <w:rPr>
          <w:rFonts w:cstheme="minorHAnsi"/>
          <w:sz w:val="24"/>
          <w:szCs w:val="24"/>
        </w:rPr>
        <w:t>ize the legislation</w:t>
      </w:r>
      <w:r w:rsidR="002A503F" w:rsidRPr="00E16E3F">
        <w:rPr>
          <w:rFonts w:cstheme="minorHAnsi"/>
          <w:sz w:val="24"/>
          <w:szCs w:val="24"/>
        </w:rPr>
        <w:t>.</w:t>
      </w:r>
    </w:p>
    <w:p w14:paraId="0553D0A9" w14:textId="00CDB995" w:rsidR="00680A0F" w:rsidRDefault="007B61FC" w:rsidP="00A050AB">
      <w:pPr>
        <w:spacing w:after="240"/>
        <w:rPr>
          <w:rFonts w:cstheme="minorHAnsi"/>
          <w:sz w:val="24"/>
          <w:szCs w:val="24"/>
        </w:rPr>
      </w:pPr>
      <w:r>
        <w:rPr>
          <w:rFonts w:cstheme="minorHAnsi"/>
          <w:sz w:val="24"/>
          <w:szCs w:val="24"/>
        </w:rPr>
        <w:t>Draft DFRDB</w:t>
      </w:r>
      <w:r w:rsidR="00680A0F" w:rsidRPr="00680A0F">
        <w:rPr>
          <w:rFonts w:cstheme="minorHAnsi"/>
          <w:sz w:val="24"/>
          <w:szCs w:val="24"/>
        </w:rPr>
        <w:t xml:space="preserve"> legislation </w:t>
      </w:r>
      <w:r>
        <w:rPr>
          <w:rFonts w:cstheme="minorHAnsi"/>
          <w:sz w:val="24"/>
          <w:szCs w:val="24"/>
        </w:rPr>
        <w:t>became Law with</w:t>
      </w:r>
      <w:r w:rsidR="00680A0F">
        <w:rPr>
          <w:rFonts w:cstheme="minorHAnsi"/>
          <w:sz w:val="24"/>
          <w:szCs w:val="24"/>
        </w:rPr>
        <w:t>,</w:t>
      </w:r>
      <w:r w:rsidR="00680A0F" w:rsidRPr="00680A0F">
        <w:rPr>
          <w:rFonts w:cstheme="minorHAnsi"/>
          <w:sz w:val="24"/>
          <w:szCs w:val="24"/>
        </w:rPr>
        <w:t xml:space="preserve"> at best</w:t>
      </w:r>
      <w:r w:rsidR="00680A0F">
        <w:rPr>
          <w:rFonts w:cstheme="minorHAnsi"/>
          <w:sz w:val="24"/>
          <w:szCs w:val="24"/>
        </w:rPr>
        <w:t>, only</w:t>
      </w:r>
      <w:r w:rsidR="00680A0F" w:rsidRPr="00680A0F">
        <w:rPr>
          <w:rFonts w:cstheme="minorHAnsi"/>
          <w:sz w:val="24"/>
          <w:szCs w:val="24"/>
        </w:rPr>
        <w:t xml:space="preserve"> cursory </w:t>
      </w:r>
      <w:r w:rsidR="0060592B">
        <w:rPr>
          <w:rFonts w:cstheme="minorHAnsi"/>
          <w:sz w:val="24"/>
          <w:szCs w:val="24"/>
        </w:rPr>
        <w:t xml:space="preserve">Parliamentary </w:t>
      </w:r>
      <w:r w:rsidR="00680A0F" w:rsidRPr="00680A0F">
        <w:rPr>
          <w:rFonts w:cstheme="minorHAnsi"/>
          <w:sz w:val="24"/>
          <w:szCs w:val="24"/>
        </w:rPr>
        <w:t>consideration</w:t>
      </w:r>
      <w:r w:rsidR="00680A0F">
        <w:rPr>
          <w:rFonts w:cstheme="minorHAnsi"/>
          <w:sz w:val="24"/>
          <w:szCs w:val="24"/>
        </w:rPr>
        <w:t>.</w:t>
      </w:r>
    </w:p>
    <w:p w14:paraId="226A5C6D" w14:textId="3052BCB6" w:rsidR="00957762" w:rsidRPr="00957762" w:rsidRDefault="007B61FC" w:rsidP="00957762">
      <w:pPr>
        <w:spacing w:after="240"/>
        <w:rPr>
          <w:rFonts w:cs="Times New Roman"/>
          <w:sz w:val="24"/>
          <w:szCs w:val="24"/>
        </w:rPr>
      </w:pPr>
      <w:r>
        <w:rPr>
          <w:rFonts w:cstheme="minorHAnsi"/>
          <w:sz w:val="24"/>
          <w:szCs w:val="24"/>
        </w:rPr>
        <w:t xml:space="preserve">The Department of </w:t>
      </w:r>
      <w:r w:rsidR="00A050AB" w:rsidRPr="00A050AB">
        <w:rPr>
          <w:rFonts w:cstheme="minorHAnsi"/>
          <w:sz w:val="24"/>
          <w:szCs w:val="24"/>
        </w:rPr>
        <w:t>Defence</w:t>
      </w:r>
      <w:r w:rsidR="00957762">
        <w:rPr>
          <w:rFonts w:cstheme="minorHAnsi"/>
          <w:sz w:val="24"/>
          <w:szCs w:val="24"/>
        </w:rPr>
        <w:t xml:space="preserve">, in concert with </w:t>
      </w:r>
      <w:r w:rsidR="00957762" w:rsidRPr="005D461A">
        <w:rPr>
          <w:rFonts w:cstheme="minorHAnsi"/>
          <w:sz w:val="24"/>
          <w:szCs w:val="24"/>
        </w:rPr>
        <w:t>Treasury,</w:t>
      </w:r>
      <w:r w:rsidR="00957762">
        <w:rPr>
          <w:rFonts w:cstheme="minorHAnsi"/>
          <w:sz w:val="24"/>
          <w:szCs w:val="24"/>
        </w:rPr>
        <w:t xml:space="preserve"> </w:t>
      </w:r>
      <w:r w:rsidR="00957762" w:rsidRPr="005D461A">
        <w:rPr>
          <w:rFonts w:cstheme="minorHAnsi"/>
          <w:sz w:val="24"/>
          <w:szCs w:val="24"/>
        </w:rPr>
        <w:t>the Commonwealth Actuary</w:t>
      </w:r>
      <w:r w:rsidR="00957762">
        <w:rPr>
          <w:rFonts w:cstheme="minorHAnsi"/>
          <w:sz w:val="24"/>
          <w:szCs w:val="24"/>
        </w:rPr>
        <w:t xml:space="preserve"> and the Parliamentary Counsel,</w:t>
      </w:r>
      <w:r w:rsidR="00A050AB" w:rsidRPr="00A050AB">
        <w:rPr>
          <w:rFonts w:cstheme="minorHAnsi"/>
          <w:sz w:val="24"/>
          <w:szCs w:val="24"/>
        </w:rPr>
        <w:t xml:space="preserve"> d</w:t>
      </w:r>
      <w:r w:rsidR="00F93899">
        <w:rPr>
          <w:rFonts w:cstheme="minorHAnsi"/>
          <w:sz w:val="24"/>
          <w:szCs w:val="24"/>
        </w:rPr>
        <w:t>up</w:t>
      </w:r>
      <w:r w:rsidR="00A050AB" w:rsidRPr="00A050AB">
        <w:rPr>
          <w:rFonts w:cstheme="minorHAnsi"/>
          <w:sz w:val="24"/>
          <w:szCs w:val="24"/>
        </w:rPr>
        <w:t xml:space="preserve">ed the Parliament and </w:t>
      </w:r>
      <w:r w:rsidR="003E7CC4">
        <w:rPr>
          <w:rFonts w:cstheme="minorHAnsi"/>
          <w:sz w:val="24"/>
          <w:szCs w:val="24"/>
        </w:rPr>
        <w:t xml:space="preserve">Defence </w:t>
      </w:r>
      <w:r>
        <w:rPr>
          <w:rFonts w:cstheme="minorHAnsi"/>
          <w:sz w:val="24"/>
          <w:szCs w:val="24"/>
        </w:rPr>
        <w:t xml:space="preserve">then </w:t>
      </w:r>
      <w:r w:rsidR="00A050AB" w:rsidRPr="00A050AB">
        <w:rPr>
          <w:rFonts w:cstheme="minorHAnsi"/>
          <w:sz w:val="24"/>
          <w:szCs w:val="24"/>
        </w:rPr>
        <w:t>deceived serving and retired members of the Australian Defence Force by</w:t>
      </w:r>
      <w:r w:rsidR="00957762">
        <w:rPr>
          <w:rFonts w:cstheme="minorHAnsi"/>
          <w:sz w:val="24"/>
          <w:szCs w:val="24"/>
        </w:rPr>
        <w:t xml:space="preserve"> d</w:t>
      </w:r>
      <w:r w:rsidR="00A050AB" w:rsidRPr="00957762">
        <w:rPr>
          <w:rFonts w:cstheme="minorHAnsi"/>
          <w:sz w:val="24"/>
          <w:szCs w:val="24"/>
        </w:rPr>
        <w:t xml:space="preserve">isseminating misleading information, as was found by the Commonwealth Ombudsman in his </w:t>
      </w:r>
      <w:hyperlink r:id="rId8" w:history="1">
        <w:r w:rsidR="003F5E63" w:rsidRPr="00957762">
          <w:rPr>
            <w:rStyle w:val="Hyperlink"/>
            <w:sz w:val="24"/>
            <w:szCs w:val="24"/>
          </w:rPr>
          <w:t>Report 06|2019</w:t>
        </w:r>
      </w:hyperlink>
      <w:r w:rsidR="003F5E63" w:rsidRPr="00957762">
        <w:rPr>
          <w:sz w:val="24"/>
          <w:szCs w:val="24"/>
        </w:rPr>
        <w:t xml:space="preserve"> of December 2019</w:t>
      </w:r>
      <w:r w:rsidR="00A050AB" w:rsidRPr="00957762">
        <w:rPr>
          <w:rFonts w:cstheme="minorHAnsi"/>
          <w:sz w:val="24"/>
          <w:szCs w:val="24"/>
        </w:rPr>
        <w:t>.</w:t>
      </w:r>
    </w:p>
    <w:p w14:paraId="2365EF82" w14:textId="77777777" w:rsidR="003E7CC4" w:rsidRDefault="001D7EE7" w:rsidP="00957762">
      <w:pPr>
        <w:spacing w:after="240"/>
        <w:rPr>
          <w:sz w:val="24"/>
          <w:szCs w:val="24"/>
        </w:rPr>
      </w:pPr>
      <w:r w:rsidRPr="00957762">
        <w:rPr>
          <w:sz w:val="24"/>
          <w:szCs w:val="24"/>
        </w:rPr>
        <w:lastRenderedPageBreak/>
        <w:t>DFRDB</w:t>
      </w:r>
      <w:r w:rsidR="005D461A" w:rsidRPr="00957762">
        <w:rPr>
          <w:sz w:val="24"/>
          <w:szCs w:val="24"/>
        </w:rPr>
        <w:t xml:space="preserve"> </w:t>
      </w:r>
      <w:r w:rsidR="000F2BA1">
        <w:rPr>
          <w:sz w:val="24"/>
          <w:szCs w:val="24"/>
        </w:rPr>
        <w:t>recipient m</w:t>
      </w:r>
      <w:r w:rsidR="000F2BA1" w:rsidRPr="00957762">
        <w:rPr>
          <w:sz w:val="24"/>
          <w:szCs w:val="24"/>
        </w:rPr>
        <w:t xml:space="preserve">embers </w:t>
      </w:r>
      <w:r w:rsidR="005D461A" w:rsidRPr="00957762">
        <w:rPr>
          <w:sz w:val="24"/>
          <w:szCs w:val="24"/>
        </w:rPr>
        <w:t>first raised some of these concerns more than 20 years ago</w:t>
      </w:r>
      <w:r w:rsidR="002A503F" w:rsidRPr="00957762">
        <w:rPr>
          <w:sz w:val="24"/>
          <w:szCs w:val="24"/>
        </w:rPr>
        <w:t xml:space="preserve">, but Defence and the incumbent Ministers have continually rejected their </w:t>
      </w:r>
      <w:r w:rsidR="003E7CC4">
        <w:rPr>
          <w:sz w:val="24"/>
          <w:szCs w:val="24"/>
        </w:rPr>
        <w:t>claim</w:t>
      </w:r>
      <w:r w:rsidR="003C1DA3" w:rsidRPr="00957762">
        <w:rPr>
          <w:sz w:val="24"/>
          <w:szCs w:val="24"/>
        </w:rPr>
        <w:t>s</w:t>
      </w:r>
      <w:r w:rsidR="000F2BA1">
        <w:rPr>
          <w:sz w:val="24"/>
          <w:szCs w:val="24"/>
        </w:rPr>
        <w:t>, which comes as no surprise.</w:t>
      </w:r>
    </w:p>
    <w:p w14:paraId="32B95A13" w14:textId="38C2C756" w:rsidR="006F24AD" w:rsidRPr="00957762" w:rsidRDefault="000F2BA1" w:rsidP="00957762">
      <w:pPr>
        <w:spacing w:after="240"/>
        <w:rPr>
          <w:sz w:val="24"/>
          <w:szCs w:val="24"/>
        </w:rPr>
      </w:pPr>
      <w:r>
        <w:rPr>
          <w:sz w:val="24"/>
          <w:szCs w:val="24"/>
        </w:rPr>
        <w:t>Aside from the perception that the DFRDB scheme is too generous, the cost of military superannuation is appropriated from the Defence Budget and does not rate on the list of priorities.</w:t>
      </w:r>
    </w:p>
    <w:p w14:paraId="5B1ADA45" w14:textId="1AA6A7BE" w:rsidR="005D461A" w:rsidRDefault="005D461A" w:rsidP="002A503F">
      <w:pPr>
        <w:rPr>
          <w:sz w:val="24"/>
          <w:szCs w:val="24"/>
        </w:rPr>
      </w:pPr>
      <w:r>
        <w:rPr>
          <w:sz w:val="24"/>
          <w:szCs w:val="24"/>
        </w:rPr>
        <w:t xml:space="preserve">Approaches to representative Senators and Members of Parliament </w:t>
      </w:r>
      <w:r w:rsidR="00957762">
        <w:rPr>
          <w:sz w:val="24"/>
          <w:szCs w:val="24"/>
        </w:rPr>
        <w:t>ar</w:t>
      </w:r>
      <w:r>
        <w:rPr>
          <w:sz w:val="24"/>
          <w:szCs w:val="24"/>
        </w:rPr>
        <w:t>e invariably referred back to Defence, resulting in the same</w:t>
      </w:r>
      <w:r w:rsidR="00680A0F">
        <w:rPr>
          <w:sz w:val="24"/>
          <w:szCs w:val="24"/>
        </w:rPr>
        <w:t xml:space="preserve"> </w:t>
      </w:r>
      <w:r w:rsidR="00184525" w:rsidRPr="00184525">
        <w:rPr>
          <w:sz w:val="24"/>
          <w:szCs w:val="24"/>
        </w:rPr>
        <w:t>clichéd</w:t>
      </w:r>
      <w:r w:rsidR="00680A0F">
        <w:rPr>
          <w:sz w:val="24"/>
          <w:szCs w:val="24"/>
        </w:rPr>
        <w:t xml:space="preserve"> response</w:t>
      </w:r>
      <w:r w:rsidR="000F2BA1">
        <w:rPr>
          <w:sz w:val="24"/>
          <w:szCs w:val="24"/>
        </w:rPr>
        <w:t>s</w:t>
      </w:r>
      <w:r>
        <w:rPr>
          <w:sz w:val="24"/>
          <w:szCs w:val="24"/>
        </w:rPr>
        <w:t>.</w:t>
      </w:r>
    </w:p>
    <w:p w14:paraId="305B392E" w14:textId="52BEC26E" w:rsidR="00184525" w:rsidRDefault="0060592B" w:rsidP="003F5E63">
      <w:pPr>
        <w:rPr>
          <w:sz w:val="24"/>
          <w:szCs w:val="24"/>
        </w:rPr>
      </w:pPr>
      <w:r>
        <w:rPr>
          <w:sz w:val="24"/>
          <w:szCs w:val="24"/>
        </w:rPr>
        <w:t>M</w:t>
      </w:r>
      <w:r w:rsidR="00957762">
        <w:rPr>
          <w:sz w:val="24"/>
          <w:szCs w:val="24"/>
        </w:rPr>
        <w:t xml:space="preserve">ore than 30,000 recipient members of the DFRDB scheme are now </w:t>
      </w:r>
      <w:r>
        <w:rPr>
          <w:sz w:val="24"/>
          <w:szCs w:val="24"/>
        </w:rPr>
        <w:t xml:space="preserve">already </w:t>
      </w:r>
      <w:r w:rsidR="00957762">
        <w:rPr>
          <w:sz w:val="24"/>
          <w:szCs w:val="24"/>
        </w:rPr>
        <w:t>deceased</w:t>
      </w:r>
      <w:r>
        <w:rPr>
          <w:sz w:val="24"/>
          <w:szCs w:val="24"/>
        </w:rPr>
        <w:t xml:space="preserve">. </w:t>
      </w:r>
      <w:r w:rsidR="00957762">
        <w:rPr>
          <w:sz w:val="24"/>
          <w:szCs w:val="24"/>
        </w:rPr>
        <w:t xml:space="preserve"> </w:t>
      </w:r>
      <w:r>
        <w:rPr>
          <w:sz w:val="24"/>
          <w:szCs w:val="24"/>
        </w:rPr>
        <w:t xml:space="preserve">But </w:t>
      </w:r>
      <w:r w:rsidR="00957762">
        <w:rPr>
          <w:sz w:val="24"/>
          <w:szCs w:val="24"/>
        </w:rPr>
        <w:t xml:space="preserve">it is not too late to make amends for the 50,000 plus who will be subject to the provisions of the DFRDB Act for </w:t>
      </w:r>
      <w:r w:rsidR="003E7CC4">
        <w:rPr>
          <w:sz w:val="24"/>
          <w:szCs w:val="24"/>
        </w:rPr>
        <w:t>up to</w:t>
      </w:r>
      <w:r w:rsidR="00957762">
        <w:rPr>
          <w:sz w:val="24"/>
          <w:szCs w:val="24"/>
        </w:rPr>
        <w:t xml:space="preserve"> forty or more years</w:t>
      </w:r>
      <w:r w:rsidR="00184525">
        <w:rPr>
          <w:sz w:val="24"/>
          <w:szCs w:val="24"/>
        </w:rPr>
        <w:t>.</w:t>
      </w:r>
    </w:p>
    <w:p w14:paraId="7238AD10" w14:textId="70A3B0A1" w:rsidR="003F5E63" w:rsidRDefault="00957762" w:rsidP="003F5E63">
      <w:pPr>
        <w:rPr>
          <w:sz w:val="24"/>
          <w:szCs w:val="24"/>
        </w:rPr>
      </w:pPr>
      <w:r>
        <w:rPr>
          <w:sz w:val="24"/>
          <w:szCs w:val="24"/>
        </w:rPr>
        <w:t xml:space="preserve">The </w:t>
      </w:r>
      <w:r w:rsidR="000F2BA1">
        <w:rPr>
          <w:sz w:val="24"/>
          <w:szCs w:val="24"/>
        </w:rPr>
        <w:t xml:space="preserve">Australian </w:t>
      </w:r>
      <w:r>
        <w:rPr>
          <w:sz w:val="24"/>
          <w:szCs w:val="24"/>
        </w:rPr>
        <w:t xml:space="preserve">Parliament failed in its duty to these ex-servicemen and women.  </w:t>
      </w:r>
      <w:r w:rsidR="00680A0F">
        <w:rPr>
          <w:sz w:val="24"/>
          <w:szCs w:val="24"/>
        </w:rPr>
        <w:t>A</w:t>
      </w:r>
      <w:r w:rsidR="003F5E63" w:rsidRPr="003F5E63">
        <w:rPr>
          <w:sz w:val="24"/>
          <w:szCs w:val="24"/>
        </w:rPr>
        <w:t xml:space="preserve">t the very least, </w:t>
      </w:r>
      <w:r>
        <w:rPr>
          <w:sz w:val="24"/>
          <w:szCs w:val="24"/>
        </w:rPr>
        <w:t>i</w:t>
      </w:r>
      <w:r w:rsidR="00184525">
        <w:rPr>
          <w:sz w:val="24"/>
          <w:szCs w:val="24"/>
        </w:rPr>
        <w:t xml:space="preserve">t </w:t>
      </w:r>
      <w:r w:rsidR="0060592B">
        <w:rPr>
          <w:sz w:val="24"/>
          <w:szCs w:val="24"/>
        </w:rPr>
        <w:t>must</w:t>
      </w:r>
      <w:r w:rsidR="003F5E63" w:rsidRPr="003F5E63">
        <w:rPr>
          <w:sz w:val="24"/>
          <w:szCs w:val="24"/>
        </w:rPr>
        <w:t xml:space="preserve"> thoroughly investigate this matter.</w:t>
      </w:r>
      <w:r w:rsidR="00B477E2">
        <w:rPr>
          <w:sz w:val="24"/>
          <w:szCs w:val="24"/>
        </w:rPr>
        <w:t xml:space="preserve">  </w:t>
      </w:r>
      <w:r w:rsidR="003F5E63" w:rsidRPr="003F5E63">
        <w:rPr>
          <w:sz w:val="24"/>
          <w:szCs w:val="24"/>
        </w:rPr>
        <w:t xml:space="preserve">More </w:t>
      </w:r>
      <w:r w:rsidR="003E7CC4">
        <w:rPr>
          <w:sz w:val="24"/>
          <w:szCs w:val="24"/>
        </w:rPr>
        <w:t>important</w:t>
      </w:r>
      <w:r w:rsidR="003F5E63" w:rsidRPr="003F5E63">
        <w:rPr>
          <w:sz w:val="24"/>
          <w:szCs w:val="24"/>
        </w:rPr>
        <w:t xml:space="preserve">ly, </w:t>
      </w:r>
      <w:r w:rsidR="003F5E63">
        <w:rPr>
          <w:sz w:val="24"/>
          <w:szCs w:val="24"/>
        </w:rPr>
        <w:t xml:space="preserve">it </w:t>
      </w:r>
      <w:r w:rsidR="003E7CC4">
        <w:rPr>
          <w:sz w:val="24"/>
          <w:szCs w:val="24"/>
        </w:rPr>
        <w:t>must</w:t>
      </w:r>
      <w:r w:rsidR="003F5E63" w:rsidRPr="003F5E63">
        <w:rPr>
          <w:sz w:val="24"/>
          <w:szCs w:val="24"/>
        </w:rPr>
        <w:t xml:space="preserve"> </w:t>
      </w:r>
      <w:r w:rsidR="003E7CC4">
        <w:rPr>
          <w:sz w:val="24"/>
          <w:szCs w:val="24"/>
        </w:rPr>
        <w:t xml:space="preserve">amend </w:t>
      </w:r>
      <w:r w:rsidR="003F5E63" w:rsidRPr="003F5E63">
        <w:rPr>
          <w:sz w:val="24"/>
          <w:szCs w:val="24"/>
        </w:rPr>
        <w:t>the DFRDB Act</w:t>
      </w:r>
      <w:r w:rsidR="003E7CC4">
        <w:rPr>
          <w:sz w:val="24"/>
          <w:szCs w:val="24"/>
        </w:rPr>
        <w:t xml:space="preserve"> and remove the insidious wording which diminishes the benefits</w:t>
      </w:r>
      <w:r w:rsidR="003F5E63" w:rsidRPr="003F5E63">
        <w:rPr>
          <w:sz w:val="24"/>
          <w:szCs w:val="24"/>
        </w:rPr>
        <w:t xml:space="preserve"> </w:t>
      </w:r>
      <w:r w:rsidR="003F5E63">
        <w:rPr>
          <w:sz w:val="24"/>
          <w:szCs w:val="24"/>
        </w:rPr>
        <w:t>and</w:t>
      </w:r>
      <w:r w:rsidR="003F5E63" w:rsidRPr="003F5E63">
        <w:rPr>
          <w:sz w:val="24"/>
          <w:szCs w:val="24"/>
        </w:rPr>
        <w:t xml:space="preserve"> restore</w:t>
      </w:r>
      <w:r w:rsidR="003F5E63">
        <w:rPr>
          <w:sz w:val="24"/>
          <w:szCs w:val="24"/>
        </w:rPr>
        <w:t xml:space="preserve"> </w:t>
      </w:r>
      <w:r w:rsidR="003E7CC4">
        <w:rPr>
          <w:sz w:val="24"/>
          <w:szCs w:val="24"/>
        </w:rPr>
        <w:t xml:space="preserve">those </w:t>
      </w:r>
      <w:r w:rsidR="003F5E63" w:rsidRPr="003F5E63">
        <w:rPr>
          <w:sz w:val="24"/>
          <w:szCs w:val="24"/>
        </w:rPr>
        <w:t>benefits to the levels which were set down by the J</w:t>
      </w:r>
      <w:r>
        <w:rPr>
          <w:sz w:val="24"/>
          <w:szCs w:val="24"/>
        </w:rPr>
        <w:t>ess</w:t>
      </w:r>
      <w:r w:rsidR="003F5E63" w:rsidRPr="003F5E63">
        <w:rPr>
          <w:sz w:val="24"/>
          <w:szCs w:val="24"/>
        </w:rPr>
        <w:t xml:space="preserve"> Committee and a</w:t>
      </w:r>
      <w:r w:rsidR="00680A0F">
        <w:rPr>
          <w:sz w:val="24"/>
          <w:szCs w:val="24"/>
        </w:rPr>
        <w:t>cce</w:t>
      </w:r>
      <w:r w:rsidR="003F5E63" w:rsidRPr="003F5E63">
        <w:rPr>
          <w:sz w:val="24"/>
          <w:szCs w:val="24"/>
        </w:rPr>
        <w:t xml:space="preserve">pted by both Coalition and </w:t>
      </w:r>
      <w:proofErr w:type="spellStart"/>
      <w:r w:rsidR="003F5E63" w:rsidRPr="003F5E63">
        <w:rPr>
          <w:sz w:val="24"/>
          <w:szCs w:val="24"/>
        </w:rPr>
        <w:t>Labor</w:t>
      </w:r>
      <w:proofErr w:type="spellEnd"/>
      <w:r w:rsidR="003F5E63" w:rsidRPr="003F5E63">
        <w:rPr>
          <w:sz w:val="24"/>
          <w:szCs w:val="24"/>
        </w:rPr>
        <w:t xml:space="preserve"> Governments.</w:t>
      </w:r>
    </w:p>
    <w:p w14:paraId="7D2479DF" w14:textId="34BF9D79" w:rsidR="00335715" w:rsidRDefault="00E74D18" w:rsidP="002A4323">
      <w:pPr>
        <w:spacing w:before="240"/>
        <w:rPr>
          <w:b/>
          <w:bCs/>
          <w:i/>
          <w:iCs/>
          <w:sz w:val="24"/>
          <w:szCs w:val="24"/>
        </w:rPr>
      </w:pPr>
      <w:r>
        <w:rPr>
          <w:sz w:val="24"/>
          <w:szCs w:val="24"/>
        </w:rPr>
        <w:t>Yours sincerely,</w:t>
      </w:r>
    </w:p>
    <w:p w14:paraId="3608F18A" w14:textId="77777777" w:rsidR="002A4323" w:rsidRPr="002A4323" w:rsidRDefault="002A4323" w:rsidP="002A4323">
      <w:pPr>
        <w:spacing w:before="240"/>
        <w:rPr>
          <w:sz w:val="24"/>
          <w:szCs w:val="24"/>
        </w:rPr>
      </w:pPr>
    </w:p>
    <w:sectPr w:rsidR="002A4323" w:rsidRPr="002A4323" w:rsidSect="007C10EE">
      <w:headerReference w:type="even" r:id="rId9"/>
      <w:headerReference w:type="default" r:id="rId10"/>
      <w:footerReference w:type="even" r:id="rId11"/>
      <w:footerReference w:type="default" r:id="rId12"/>
      <w:headerReference w:type="first" r:id="rId13"/>
      <w:footerReference w:type="first" r:id="rId14"/>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4D74" w14:textId="77777777" w:rsidR="00F042BD" w:rsidRDefault="00F042BD" w:rsidP="009A7F16">
      <w:pPr>
        <w:spacing w:after="0" w:line="240" w:lineRule="auto"/>
      </w:pPr>
      <w:r>
        <w:separator/>
      </w:r>
    </w:p>
  </w:endnote>
  <w:endnote w:type="continuationSeparator" w:id="0">
    <w:p w14:paraId="0BD2CC14" w14:textId="77777777" w:rsidR="00F042BD" w:rsidRDefault="00F042BD" w:rsidP="009A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373" w14:textId="77777777" w:rsidR="00957762" w:rsidRDefault="0095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6FC3" w14:textId="77777777" w:rsidR="00957762" w:rsidRDefault="00957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5A3F" w14:textId="77777777" w:rsidR="00957762" w:rsidRDefault="0095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C35C" w14:textId="77777777" w:rsidR="00F042BD" w:rsidRDefault="00F042BD" w:rsidP="009A7F16">
      <w:pPr>
        <w:spacing w:after="0" w:line="240" w:lineRule="auto"/>
      </w:pPr>
      <w:r>
        <w:separator/>
      </w:r>
    </w:p>
  </w:footnote>
  <w:footnote w:type="continuationSeparator" w:id="0">
    <w:p w14:paraId="5D4E5B7A" w14:textId="77777777" w:rsidR="00F042BD" w:rsidRDefault="00F042BD" w:rsidP="009A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1EB6" w14:textId="77777777" w:rsidR="00957762" w:rsidRDefault="00957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D2FC" w14:textId="077C3186" w:rsidR="001B62D6" w:rsidRDefault="001B62D6" w:rsidP="006F24AD">
    <w:pPr>
      <w:pStyle w:val="Header"/>
      <w:jc w:val="center"/>
    </w:pPr>
  </w:p>
  <w:p w14:paraId="42848CFD" w14:textId="77777777" w:rsidR="001B62D6" w:rsidRDefault="001B62D6" w:rsidP="006F24A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4A3F" w14:textId="77777777" w:rsidR="00957762" w:rsidRDefault="00957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30C"/>
    <w:multiLevelType w:val="hybridMultilevel"/>
    <w:tmpl w:val="E8580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FC4"/>
    <w:multiLevelType w:val="hybridMultilevel"/>
    <w:tmpl w:val="AE5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12CF9"/>
    <w:multiLevelType w:val="hybridMultilevel"/>
    <w:tmpl w:val="F87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NTA1MDEwMTI1NzBT0lEKTi0uzszPAykwtKwFAEwz1jUtAAAA"/>
  </w:docVars>
  <w:rsids>
    <w:rsidRoot w:val="00E426CB"/>
    <w:rsid w:val="00011558"/>
    <w:rsid w:val="0004002E"/>
    <w:rsid w:val="000B63DF"/>
    <w:rsid w:val="000D7479"/>
    <w:rsid w:val="000F2BA1"/>
    <w:rsid w:val="00110B03"/>
    <w:rsid w:val="00184525"/>
    <w:rsid w:val="001B62D6"/>
    <w:rsid w:val="001D7EE7"/>
    <w:rsid w:val="002138B6"/>
    <w:rsid w:val="00234412"/>
    <w:rsid w:val="0026764B"/>
    <w:rsid w:val="002A4323"/>
    <w:rsid w:val="002A503F"/>
    <w:rsid w:val="002F2BEC"/>
    <w:rsid w:val="00335715"/>
    <w:rsid w:val="00391FF7"/>
    <w:rsid w:val="003944C0"/>
    <w:rsid w:val="003B08D3"/>
    <w:rsid w:val="003C1DA3"/>
    <w:rsid w:val="003D59FF"/>
    <w:rsid w:val="003E7CC4"/>
    <w:rsid w:val="003F5E63"/>
    <w:rsid w:val="00446DD5"/>
    <w:rsid w:val="004722A7"/>
    <w:rsid w:val="004F569D"/>
    <w:rsid w:val="005064B9"/>
    <w:rsid w:val="0054235D"/>
    <w:rsid w:val="0057585C"/>
    <w:rsid w:val="005962B9"/>
    <w:rsid w:val="005B19E9"/>
    <w:rsid w:val="005D461A"/>
    <w:rsid w:val="0060592B"/>
    <w:rsid w:val="00680A0F"/>
    <w:rsid w:val="006E507A"/>
    <w:rsid w:val="006F24AD"/>
    <w:rsid w:val="00785A3E"/>
    <w:rsid w:val="007B61FC"/>
    <w:rsid w:val="007C10EE"/>
    <w:rsid w:val="007D4956"/>
    <w:rsid w:val="007E16D2"/>
    <w:rsid w:val="008B1B45"/>
    <w:rsid w:val="00931113"/>
    <w:rsid w:val="009566AA"/>
    <w:rsid w:val="00957762"/>
    <w:rsid w:val="009A7F16"/>
    <w:rsid w:val="00A050AB"/>
    <w:rsid w:val="00A602D3"/>
    <w:rsid w:val="00A81E2B"/>
    <w:rsid w:val="00A96BAD"/>
    <w:rsid w:val="00AC5EEB"/>
    <w:rsid w:val="00B477E2"/>
    <w:rsid w:val="00B75F91"/>
    <w:rsid w:val="00BC7FCA"/>
    <w:rsid w:val="00C13466"/>
    <w:rsid w:val="00C412D1"/>
    <w:rsid w:val="00D27FF7"/>
    <w:rsid w:val="00D46BCF"/>
    <w:rsid w:val="00D5506E"/>
    <w:rsid w:val="00DF135D"/>
    <w:rsid w:val="00E16E3F"/>
    <w:rsid w:val="00E426CB"/>
    <w:rsid w:val="00E74D18"/>
    <w:rsid w:val="00E853AE"/>
    <w:rsid w:val="00EA08B1"/>
    <w:rsid w:val="00EA510F"/>
    <w:rsid w:val="00EC3A56"/>
    <w:rsid w:val="00EF71A7"/>
    <w:rsid w:val="00F042BD"/>
    <w:rsid w:val="00F203B3"/>
    <w:rsid w:val="00F530B6"/>
    <w:rsid w:val="00F70D4C"/>
    <w:rsid w:val="00F75923"/>
    <w:rsid w:val="00F93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D28C"/>
  <w15:chartTrackingRefBased/>
  <w15:docId w15:val="{D40E12D1-3790-4887-9A05-76A5BC04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F16"/>
    <w:rPr>
      <w:color w:val="0000FF"/>
      <w:u w:val="single"/>
    </w:rPr>
  </w:style>
  <w:style w:type="paragraph" w:styleId="FootnoteText">
    <w:name w:val="footnote text"/>
    <w:basedOn w:val="Normal"/>
    <w:link w:val="FootnoteTextChar"/>
    <w:uiPriority w:val="99"/>
    <w:semiHidden/>
    <w:unhideWhenUsed/>
    <w:rsid w:val="009A7F16"/>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9A7F16"/>
    <w:rPr>
      <w:rFonts w:ascii="Calibri" w:hAnsi="Calibri" w:cs="Times New Roman"/>
      <w:sz w:val="20"/>
      <w:szCs w:val="20"/>
    </w:rPr>
  </w:style>
  <w:style w:type="character" w:styleId="FootnoteReference">
    <w:name w:val="footnote reference"/>
    <w:basedOn w:val="DefaultParagraphFont"/>
    <w:uiPriority w:val="99"/>
    <w:semiHidden/>
    <w:unhideWhenUsed/>
    <w:rsid w:val="009A7F16"/>
    <w:rPr>
      <w:vertAlign w:val="superscript"/>
    </w:rPr>
  </w:style>
  <w:style w:type="paragraph" w:styleId="ListParagraph">
    <w:name w:val="List Paragraph"/>
    <w:basedOn w:val="Normal"/>
    <w:uiPriority w:val="34"/>
    <w:qFormat/>
    <w:rsid w:val="009A7F16"/>
    <w:pPr>
      <w:spacing w:after="0" w:line="240" w:lineRule="auto"/>
      <w:ind w:left="720"/>
      <w:contextualSpacing/>
    </w:pPr>
    <w:rPr>
      <w:rFonts w:ascii="Calibri" w:hAnsi="Calibri" w:cs="Times New Roman"/>
    </w:rPr>
  </w:style>
  <w:style w:type="character" w:styleId="UnresolvedMention">
    <w:name w:val="Unresolved Mention"/>
    <w:basedOn w:val="DefaultParagraphFont"/>
    <w:uiPriority w:val="99"/>
    <w:semiHidden/>
    <w:unhideWhenUsed/>
    <w:rsid w:val="00785A3E"/>
    <w:rPr>
      <w:color w:val="605E5C"/>
      <w:shd w:val="clear" w:color="auto" w:fill="E1DFDD"/>
    </w:rPr>
  </w:style>
  <w:style w:type="character" w:styleId="FollowedHyperlink">
    <w:name w:val="FollowedHyperlink"/>
    <w:basedOn w:val="DefaultParagraphFont"/>
    <w:uiPriority w:val="99"/>
    <w:semiHidden/>
    <w:unhideWhenUsed/>
    <w:rsid w:val="00785A3E"/>
    <w:rPr>
      <w:color w:val="954F72" w:themeColor="followedHyperlink"/>
      <w:u w:val="single"/>
    </w:rPr>
  </w:style>
  <w:style w:type="paragraph" w:styleId="Header">
    <w:name w:val="header"/>
    <w:basedOn w:val="Normal"/>
    <w:link w:val="HeaderChar"/>
    <w:uiPriority w:val="99"/>
    <w:unhideWhenUsed/>
    <w:rsid w:val="007C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0EE"/>
  </w:style>
  <w:style w:type="paragraph" w:styleId="Footer">
    <w:name w:val="footer"/>
    <w:basedOn w:val="Normal"/>
    <w:link w:val="FooterChar"/>
    <w:uiPriority w:val="99"/>
    <w:unhideWhenUsed/>
    <w:rsid w:val="007C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0EE"/>
  </w:style>
  <w:style w:type="table" w:styleId="TableGrid">
    <w:name w:val="Table Grid"/>
    <w:basedOn w:val="TableNormal"/>
    <w:uiPriority w:val="39"/>
    <w:rsid w:val="007C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0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gov.au/__data/assets/pdf_file/0015/109131/FINAL-DFRDB-investigation-repor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9uOBdrDbWK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Hislop</dc:creator>
  <cp:keywords/>
  <dc:description/>
  <cp:lastModifiedBy>Herb</cp:lastModifiedBy>
  <cp:revision>5</cp:revision>
  <dcterms:created xsi:type="dcterms:W3CDTF">2020-06-29T09:34:00Z</dcterms:created>
  <dcterms:modified xsi:type="dcterms:W3CDTF">2020-06-29T12:03:00Z</dcterms:modified>
</cp:coreProperties>
</file>